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ind w:left="0"/>
        <w:rPr>
          <w:rFonts w:asciiTheme="minorEastAsia" w:hAnsiTheme="minorEastAsia" w:eastAsiaTheme="minorEastAsia" w:cstheme="minorEastAsia"/>
          <w:sz w:val="29"/>
        </w:rPr>
      </w:pPr>
    </w:p>
    <w:p>
      <w:pPr>
        <w:pStyle w:val="15"/>
        <w:spacing w:before="0" w:beforeAutospacing="0" w:after="0" w:afterAutospacing="0" w:line="360" w:lineRule="auto"/>
        <w:jc w:val="center"/>
        <w:rPr>
          <w:b/>
          <w:bCs/>
          <w:szCs w:val="24"/>
          <w:lang w:val="en-US"/>
        </w:rPr>
      </w:pPr>
      <w:r>
        <w:rPr>
          <w:rFonts w:hint="eastAsia"/>
          <w:b/>
          <w:bCs/>
          <w:szCs w:val="24"/>
        </w:rPr>
        <w:t>阜阳师范大学3#幼儿园（12班）三层，门卫一层施工项目</w:t>
      </w:r>
      <w:r>
        <w:rPr>
          <w:rFonts w:hint="eastAsia"/>
          <w:b/>
          <w:bCs/>
          <w:szCs w:val="24"/>
          <w:lang w:val="en-US"/>
        </w:rPr>
        <w:t>图纸疑问</w:t>
      </w:r>
    </w:p>
    <w:p>
      <w:pPr>
        <w:spacing w:before="120" w:line="360" w:lineRule="auto"/>
        <w:outlineLvl w:val="2"/>
        <w:rPr>
          <w:b/>
        </w:rPr>
      </w:pPr>
      <w:r>
        <w:rPr>
          <w:rFonts w:hint="eastAsia"/>
          <w:b/>
        </w:rPr>
        <w:t>土方工程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/>
        </w:rPr>
        <w:t>挖土方</w:t>
      </w:r>
      <w:r>
        <w:rPr>
          <w:rFonts w:hint="eastAsia"/>
          <w:lang w:val="en-US" w:eastAsia="zh-CN"/>
        </w:rPr>
        <w:t>及砖渣</w:t>
      </w:r>
      <w:r>
        <w:rPr>
          <w:rFonts w:hint="eastAsia"/>
        </w:rPr>
        <w:t>时产生的土方</w:t>
      </w:r>
      <w:r>
        <w:rPr>
          <w:rFonts w:hint="eastAsia"/>
          <w:lang w:val="en-US" w:eastAsia="zh-CN"/>
        </w:rPr>
        <w:t>和砖渣等</w:t>
      </w:r>
      <w:r>
        <w:rPr>
          <w:rFonts w:hint="eastAsia"/>
        </w:rPr>
        <w:t>是否全部外运？运距按多少公里考虑？</w:t>
      </w:r>
    </w:p>
    <w:p>
      <w:pPr>
        <w:spacing w:line="360" w:lineRule="auto"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回复：是，</w:t>
      </w:r>
      <w:r>
        <w:rPr>
          <w:rFonts w:hint="eastAsia"/>
          <w:b/>
          <w:bCs/>
          <w:color w:val="0000FF"/>
          <w:lang w:val="en-US" w:eastAsia="zh-CN"/>
        </w:rPr>
        <w:t>控制价按10KM计入，土方级砖渣外运运距及弃土点、渣土费、保洁费用等一切费用均由投标人充分考虑后自行报价，结算时不予调整。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现场是否考虑土方平衡？</w:t>
      </w:r>
    </w:p>
    <w:p>
      <w:pPr>
        <w:spacing w:line="360" w:lineRule="auto"/>
        <w:rPr>
          <w:rFonts w:hint="default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回复：考虑，挖除砖渣等外运按面积14亩，挖深2米计入控制价，土方外运运距及弃土点、渣土费、保洁费用等一切费用均由投标人充分考虑后自行报价，结算时不予调整。</w:t>
      </w:r>
    </w:p>
    <w:p>
      <w:pPr>
        <w:spacing w:before="120" w:line="360" w:lineRule="auto"/>
        <w:outlineLvl w:val="2"/>
        <w:rPr>
          <w:b/>
          <w:lang w:val="en-US"/>
        </w:rPr>
      </w:pPr>
      <w:r>
        <w:rPr>
          <w:rFonts w:hint="eastAsia"/>
          <w:b/>
          <w:lang w:val="en-US"/>
        </w:rPr>
        <w:t>幼儿园土建工程</w:t>
      </w:r>
    </w:p>
    <w:p>
      <w:pPr>
        <w:rPr>
          <w:lang w:val="en-US"/>
        </w:rPr>
      </w:pPr>
      <w:r>
        <w:rPr>
          <w:rFonts w:hint="eastAsia"/>
          <w:lang w:val="en-US"/>
        </w:rPr>
        <w:t>1、结施9柱图2轴交f轴，3轴交f轴 4轴交f轴 柱大样与平面图不符 请明确</w:t>
      </w:r>
    </w:p>
    <w:p>
      <w:r>
        <w:rPr>
          <w:lang w:val="en-US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140970</wp:posOffset>
            </wp:positionV>
            <wp:extent cx="5547360" cy="2925445"/>
            <wp:effectExtent l="0" t="0" r="0" b="8255"/>
            <wp:wrapNone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7360" cy="292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/>
    <w:p/>
    <w:p/>
    <w:p/>
    <w:p>
      <w:pPr>
        <w:spacing w:line="360" w:lineRule="auto"/>
        <w:rPr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回复：截面尺寸改为600*600，定位与配筋如下：</w:t>
      </w:r>
      <w:r>
        <w:rPr>
          <w:rFonts w:hint="eastAsia"/>
          <w:lang w:val="en-US" w:bidi="ar-SA"/>
        </w:rPr>
        <w:drawing>
          <wp:inline distT="0" distB="0" distL="114300" distR="114300">
            <wp:extent cx="5545455" cy="2076450"/>
            <wp:effectExtent l="0" t="0" r="0" b="0"/>
            <wp:docPr id="6" name="图片 6" descr="1606880410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06880410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5155" cy="2076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bidi="ar-SA"/>
        </w:rPr>
        <w:drawing>
          <wp:inline distT="0" distB="0" distL="114300" distR="114300">
            <wp:extent cx="5687695" cy="3978910"/>
            <wp:effectExtent l="0" t="0" r="8255" b="2540"/>
            <wp:docPr id="7" name="图片 7" descr="160688049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06880499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0889" cy="398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lang w:val="en-US"/>
        </w:rPr>
      </w:pPr>
      <w:r>
        <w:rPr>
          <w:rFonts w:hint="eastAsia"/>
          <w:lang w:val="en-US"/>
        </w:rPr>
        <w:t>2、 结施19 节点6位置不详</w:t>
      </w:r>
    </w:p>
    <w:p>
      <w:r>
        <w:rPr>
          <w:lang w:val="en-US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111760</wp:posOffset>
            </wp:positionV>
            <wp:extent cx="4007485" cy="2493645"/>
            <wp:effectExtent l="0" t="0" r="0" b="1905"/>
            <wp:wrapNone/>
            <wp:docPr id="3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07485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/>
    <w:p/>
    <w:p>
      <w:pPr>
        <w:widowControl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回复：图中已有</w:t>
      </w:r>
    </w:p>
    <w:p>
      <w:pPr>
        <w:widowControl/>
      </w:pPr>
      <w:r>
        <w:rPr>
          <w:sz w:val="24"/>
          <w:szCs w:val="24"/>
          <w:lang w:val="en-US" w:bidi="ar-SA"/>
        </w:rPr>
        <w:drawing>
          <wp:inline distT="0" distB="0" distL="114300" distR="114300">
            <wp:extent cx="4168140" cy="4257040"/>
            <wp:effectExtent l="0" t="0" r="3810" b="0"/>
            <wp:docPr id="9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rcRect l="31244"/>
                    <a:stretch>
                      <a:fillRect/>
                    </a:stretch>
                  </pic:blipFill>
                  <pic:spPr>
                    <a:xfrm>
                      <a:off x="0" y="0"/>
                      <a:ext cx="4171726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  <w:color w:val="0000FF"/>
          <w:lang w:val="en-US"/>
        </w:rPr>
      </w:pPr>
    </w:p>
    <w:p>
      <w:r>
        <w:rPr>
          <w:rFonts w:hint="eastAsia"/>
          <w:lang w:val="en-US"/>
        </w:rPr>
        <w:t>3、结施10  c轴交6 轴 8轴 13轴柱大样与平面图不符</w:t>
      </w:r>
    </w:p>
    <w:p>
      <w:r>
        <w:rPr>
          <w:lang w:val="en-US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41275</wp:posOffset>
            </wp:positionV>
            <wp:extent cx="5522595" cy="3227070"/>
            <wp:effectExtent l="0" t="0" r="9525" b="3810"/>
            <wp:wrapNone/>
            <wp:docPr id="3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22595" cy="322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/>
    <w:p/>
    <w:p/>
    <w:p/>
    <w:p/>
    <w:p>
      <w:pPr>
        <w:widowControl/>
      </w:pPr>
      <w:r>
        <w:rPr>
          <w:rFonts w:hint="eastAsia"/>
          <w:b/>
          <w:bCs/>
          <w:color w:val="0000FF"/>
          <w:lang w:val="en-US"/>
        </w:rPr>
        <w:t>回复：此处3个柱子编号应是KZ1.配筋见原图。</w:t>
      </w:r>
      <w:r>
        <w:rPr>
          <w:sz w:val="24"/>
          <w:szCs w:val="24"/>
          <w:lang w:val="en-US" w:bidi="ar-SA"/>
        </w:rPr>
        <w:drawing>
          <wp:inline distT="0" distB="0" distL="114300" distR="114300">
            <wp:extent cx="5533390" cy="1126490"/>
            <wp:effectExtent l="0" t="0" r="0" b="0"/>
            <wp:docPr id="10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41826" cy="1128361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lang w:val="en-US"/>
        </w:rPr>
      </w:pPr>
    </w:p>
    <w:p>
      <w:pPr>
        <w:numPr>
          <w:ilvl w:val="0"/>
          <w:numId w:val="2"/>
        </w:numPr>
        <w:rPr>
          <w:lang w:val="en-US"/>
        </w:rPr>
      </w:pPr>
      <w:r>
        <w:rPr>
          <w:rFonts w:hint="eastAsia"/>
          <w:lang w:val="en-US"/>
        </w:rPr>
        <w:t>结施20节点3 节点4 节点7与平面图尺寸不符 请明示</w:t>
      </w:r>
    </w:p>
    <w:p>
      <w:pPr>
        <w:spacing w:line="360" w:lineRule="auto"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回复：以大样图尺寸为准。</w:t>
      </w:r>
    </w:p>
    <w:p>
      <w:pPr>
        <w:spacing w:line="360" w:lineRule="auto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5、卫生间隔断材质不详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rFonts w:hint="eastAsia"/>
          <w:b/>
          <w:bCs/>
          <w:color w:val="0000FF"/>
          <w:lang w:val="en-US" w:eastAsia="zh-CN"/>
        </w:rPr>
        <w:t>清单按成品隔断</w:t>
      </w:r>
    </w:p>
    <w:p>
      <w:pPr>
        <w:spacing w:line="360" w:lineRule="auto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6、结施总说明与建筑图纸砖类型不同以哪种材质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rFonts w:hint="eastAsia"/>
          <w:b/>
          <w:bCs/>
          <w:color w:val="0000FF"/>
          <w:lang w:val="en-US" w:eastAsia="zh-CN"/>
        </w:rPr>
        <w:t>以结施为准</w:t>
      </w:r>
    </w:p>
    <w:p>
      <w:pPr>
        <w:spacing w:line="360" w:lineRule="auto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7、屋面细石刚性层砼等级不详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rFonts w:hint="eastAsia"/>
          <w:b/>
          <w:bCs/>
          <w:color w:val="0000FF"/>
          <w:lang w:val="en-US" w:eastAsia="zh-CN"/>
        </w:rPr>
        <w:t>清单按C20细石砼列项</w:t>
      </w:r>
    </w:p>
    <w:p>
      <w:pPr>
        <w:spacing w:line="360" w:lineRule="auto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8、屋面设备基础砼等级不详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rFonts w:hint="eastAsia"/>
          <w:b/>
          <w:bCs/>
          <w:color w:val="0000FF"/>
          <w:lang w:val="en-US" w:eastAsia="zh-CN"/>
        </w:rPr>
        <w:t>清单列C20细石砼</w:t>
      </w:r>
    </w:p>
    <w:p>
      <w:pPr>
        <w:spacing w:line="360" w:lineRule="auto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9、办公室、医务晨检、保健观察室、图书室阅览室科学操作室会议室财务室、园长室图纸不详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rFonts w:hint="eastAsia"/>
          <w:b/>
          <w:bCs/>
          <w:color w:val="0000FF"/>
          <w:lang w:val="en-US" w:eastAsia="zh-CN"/>
        </w:rPr>
        <w:t>清单按顶棚5列项</w:t>
      </w:r>
    </w:p>
    <w:p>
      <w:pPr>
        <w:spacing w:line="360" w:lineRule="auto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10、男更、女更、主副食加工间主副食库、开水消毒、清洗配餐间、做法不详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回复：清单按顶棚5列项</w:t>
      </w:r>
    </w:p>
    <w:p>
      <w:pPr>
        <w:spacing w:line="360" w:lineRule="auto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11、配餐间、音控室、准备间地面做法不详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rFonts w:hint="eastAsia"/>
          <w:b/>
          <w:bCs/>
          <w:color w:val="0000FF"/>
          <w:lang w:val="en-US" w:eastAsia="zh-CN"/>
        </w:rPr>
        <w:t>清单按楼地面3列项</w:t>
      </w:r>
    </w:p>
    <w:p>
      <w:pPr>
        <w:spacing w:line="360" w:lineRule="auto"/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精装修部分：</w:t>
      </w:r>
    </w:p>
    <w:p>
      <w:pPr>
        <w:spacing w:line="360" w:lineRule="auto"/>
        <w:rPr>
          <w:rFonts w:hint="default"/>
          <w:b/>
          <w:bCs/>
          <w:color w:val="0000FF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1、仿木塑胶地板多厚，材质不明确。</w:t>
      </w:r>
      <w:r>
        <w:rPr>
          <w:rFonts w:hint="eastAsia"/>
          <w:b/>
          <w:bCs/>
          <w:color w:val="0000FF"/>
          <w:lang w:val="en-US" w:eastAsia="zh-CN"/>
        </w:rPr>
        <w:br w:type="textWrapping"/>
      </w:r>
      <w:r>
        <w:rPr>
          <w:rFonts w:hint="eastAsia"/>
          <w:b/>
          <w:bCs/>
          <w:color w:val="0000FF"/>
          <w:lang w:val="en-US" w:eastAsia="zh-CN"/>
        </w:rPr>
        <w:t>回复：2mm厚同质透芯仿木色塑胶地板。</w:t>
      </w:r>
      <w:r>
        <w:rPr>
          <w:rFonts w:hint="eastAsia"/>
          <w:b/>
          <w:bCs/>
          <w:color w:val="0000FF"/>
          <w:lang w:val="en-US" w:eastAsia="zh-CN"/>
        </w:rPr>
        <w:br w:type="textWrapping"/>
      </w:r>
      <w:r>
        <w:rPr>
          <w:rFonts w:hint="eastAsia"/>
          <w:b w:val="0"/>
          <w:bCs w:val="0"/>
          <w:color w:val="auto"/>
          <w:lang w:val="en-US" w:eastAsia="zh-CN"/>
        </w:rPr>
        <w:t>2、石材窗台板石材不明确。</w:t>
      </w:r>
      <w:r>
        <w:rPr>
          <w:rFonts w:hint="eastAsia"/>
          <w:b/>
          <w:bCs/>
          <w:color w:val="0000FF"/>
          <w:lang w:val="en-US" w:eastAsia="zh-CN"/>
        </w:rPr>
        <w:br w:type="textWrapping"/>
      </w:r>
      <w:r>
        <w:rPr>
          <w:rFonts w:hint="eastAsia"/>
          <w:b/>
          <w:bCs/>
          <w:color w:val="0000FF"/>
          <w:lang w:val="en-US" w:eastAsia="zh-CN"/>
        </w:rPr>
        <w:t>回复：为20厚啡网纹石材。</w:t>
      </w:r>
    </w:p>
    <w:p>
      <w:pPr>
        <w:spacing w:line="360" w:lineRule="auto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景观工程：</w:t>
      </w:r>
    </w:p>
    <w:p>
      <w:pPr>
        <w:numPr>
          <w:ilvl w:val="0"/>
          <w:numId w:val="0"/>
        </w:numPr>
        <w:spacing w:line="360" w:lineRule="auto"/>
        <w:rPr>
          <w:lang w:val="en-US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val="en-US"/>
        </w:rPr>
        <w:t>电动伸缩门是否在本次招标范围内？如在请提供相应参数；</w:t>
      </w:r>
      <w:r>
        <w:rPr>
          <w:lang w:val="en-US" w:bidi="ar-SA"/>
        </w:rPr>
        <w:drawing>
          <wp:inline distT="0" distB="0" distL="114300" distR="114300">
            <wp:extent cx="5268595" cy="2736215"/>
            <wp:effectExtent l="0" t="0" r="444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73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b/>
          <w:bCs/>
          <w:color w:val="0000FF"/>
          <w:lang w:val="en-US"/>
        </w:rPr>
        <w:t>电动伸缩门</w:t>
      </w:r>
      <w:r>
        <w:rPr>
          <w:rFonts w:hint="eastAsia"/>
          <w:b/>
          <w:bCs/>
          <w:color w:val="0000FF"/>
          <w:lang w:val="en-US"/>
        </w:rPr>
        <w:t>不在本次招标范围。</w:t>
      </w:r>
    </w:p>
    <w:p>
      <w:pPr>
        <w:numPr>
          <w:ilvl w:val="0"/>
          <w:numId w:val="0"/>
        </w:numPr>
        <w:spacing w:line="360" w:lineRule="auto"/>
        <w:rPr>
          <w:lang w:val="en-US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val="en-US"/>
        </w:rPr>
        <w:t>请提供自行车棚顶张拉膜参数；</w:t>
      </w:r>
    </w:p>
    <w:p>
      <w:pPr>
        <w:spacing w:line="360" w:lineRule="auto"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回复：取消张拉膜，改为双层阳光板，厚度8+8，宽度与长度与廊架一致。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3、人行铺装、塑胶地面处检查井是否考虑隐形井盖座（不锈钢材质）；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回复：按设计井盖。</w:t>
      </w:r>
    </w:p>
    <w:p>
      <w:pPr>
        <w:numPr>
          <w:ilvl w:val="0"/>
          <w:numId w:val="0"/>
        </w:num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4、幼儿园东侧是否有行车道。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回复：有，按长度80米，宽度6米计入，做法同车行沥青道。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绿化</w:t>
      </w:r>
      <w:r>
        <w:rPr>
          <w:rFonts w:hint="eastAsia"/>
          <w:b/>
          <w:bCs/>
          <w:lang w:val="en-US"/>
        </w:rPr>
        <w:t>工程：</w:t>
      </w:r>
    </w:p>
    <w:p>
      <w:pPr>
        <w:numPr>
          <w:ilvl w:val="0"/>
          <w:numId w:val="3"/>
        </w:numPr>
        <w:spacing w:line="360" w:lineRule="auto"/>
        <w:ind w:leftChars="0"/>
        <w:rPr>
          <w:rFonts w:hint="eastAsia"/>
          <w:lang w:val="en-US"/>
        </w:rPr>
      </w:pPr>
      <w:r>
        <w:rPr>
          <w:rFonts w:hint="eastAsia"/>
          <w:lang w:val="en-US" w:eastAsia="zh-CN"/>
        </w:rPr>
        <w:t>绿化工程是否按苗木表计入</w:t>
      </w:r>
      <w:r>
        <w:rPr>
          <w:rFonts w:hint="eastAsia"/>
          <w:lang w:val="en-US"/>
        </w:rPr>
        <w:t>；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回复：是，其中北侧围墙外至北侧红线范围内黄山栾树15株、矮生百慕大草坪306㎡不在本次招标范围。</w:t>
      </w:r>
    </w:p>
    <w:p>
      <w:pPr>
        <w:numPr>
          <w:ilvl w:val="0"/>
          <w:numId w:val="3"/>
        </w:numPr>
        <w:spacing w:line="360" w:lineRule="auto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请明确矮生百慕大草皮卷追播黑麦草次数；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default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回复：取消追播黑麦草，仅铺种矮生百慕大草皮。</w:t>
      </w:r>
    </w:p>
    <w:p>
      <w:pPr>
        <w:tabs>
          <w:tab w:val="left" w:pos="312"/>
        </w:tabs>
        <w:spacing w:line="360" w:lineRule="auto"/>
        <w:jc w:val="both"/>
        <w:rPr>
          <w:b/>
          <w:bCs/>
          <w:lang w:val="en-US"/>
        </w:rPr>
      </w:pPr>
      <w:r>
        <w:rPr>
          <w:rFonts w:hint="eastAsia"/>
          <w:b/>
          <w:bCs/>
          <w:lang w:val="en-US"/>
        </w:rPr>
        <w:t>排水工程：</w:t>
      </w:r>
    </w:p>
    <w:p>
      <w:pPr>
        <w:numPr>
          <w:ilvl w:val="0"/>
          <w:numId w:val="0"/>
        </w:numPr>
        <w:spacing w:line="360" w:lineRule="auto"/>
        <w:jc w:val="both"/>
        <w:rPr>
          <w:lang w:val="en-US"/>
        </w:rPr>
      </w:pPr>
      <w:r>
        <w:rPr>
          <w:rFonts w:hint="eastAsia"/>
          <w:lang w:val="en-US" w:eastAsia="zh-CN"/>
        </w:rPr>
        <w:t>1、</w:t>
      </w:r>
      <w:r>
        <w:rPr>
          <w:rFonts w:hint="eastAsia"/>
          <w:lang w:val="en-US"/>
        </w:rPr>
        <w:t>请明确雨污水检查井采用现浇钢筋混凝土井（02S515）还是混凝土模块式检查井（12s522）</w:t>
      </w:r>
      <w:r>
        <w:rPr>
          <w:lang w:val="en-US" w:bidi="ar-SA"/>
        </w:rPr>
        <w:drawing>
          <wp:inline distT="0" distB="0" distL="114300" distR="114300">
            <wp:extent cx="5271135" cy="1024255"/>
            <wp:effectExtent l="0" t="0" r="190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回复：在道路上的采用现浇混凝土检查井，不在道路上的采用塑料排水检查井，接管直径小于500的用Φ700检查井，大于等于500的用Φ900检查井。</w:t>
      </w:r>
    </w:p>
    <w:p>
      <w:pPr>
        <w:numPr>
          <w:ilvl w:val="0"/>
          <w:numId w:val="0"/>
        </w:numPr>
        <w:spacing w:line="360" w:lineRule="auto"/>
        <w:rPr>
          <w:lang w:val="en-US"/>
        </w:rPr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val="en-US"/>
        </w:rPr>
        <w:t>请明确雨污水管道中</w:t>
      </w:r>
      <w:r>
        <w:t>实壁</w:t>
      </w:r>
      <w:r>
        <w:rPr>
          <w:lang w:val="en-US"/>
        </w:rPr>
        <w:t>PE</w:t>
      </w:r>
      <w:r>
        <w:t>排水管</w:t>
      </w:r>
      <w:r>
        <w:rPr>
          <w:rFonts w:hint="eastAsia"/>
          <w:lang w:val="en-US"/>
        </w:rPr>
        <w:t>是否参照04S520《埋地塑料排水管道施工》（未找到图集05S520），及请明确混凝土管道开挖、基础做法。</w:t>
      </w:r>
      <w:r>
        <w:rPr>
          <w:lang w:val="en-US" w:bidi="ar-SA"/>
        </w:rPr>
        <w:drawing>
          <wp:inline distT="0" distB="0" distL="114300" distR="114300">
            <wp:extent cx="5269865" cy="654685"/>
            <wp:effectExtent l="0" t="0" r="317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 w:bidi="ar-SA"/>
        </w:rPr>
        <w:drawing>
          <wp:inline distT="0" distB="0" distL="114300" distR="114300">
            <wp:extent cx="5271135" cy="765810"/>
            <wp:effectExtent l="0" t="0" r="190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回复：雨污水管道中实壁PE排水管参照04S520《埋地塑料排水管道施工》，混凝土管道开挖、基础做法详见04S516《混凝土排水管道基础及接口》,DN500管采用PE管。</w:t>
      </w:r>
    </w:p>
    <w:p>
      <w:pPr>
        <w:numPr>
          <w:ilvl w:val="0"/>
          <w:numId w:val="0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化粪池G7-20SF做法是否参照03S702钢筋混凝土化粪池？</w:t>
      </w:r>
    </w:p>
    <w:p>
      <w:pPr>
        <w:spacing w:line="360" w:lineRule="auto"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回复：成品玻璃钢化粪池选型：YJBH-7-II，详见14SS706《玻璃钢化粪池选用与埋设》P23。</w:t>
      </w:r>
    </w:p>
    <w:p>
      <w:pPr>
        <w:numPr>
          <w:ilvl w:val="0"/>
          <w:numId w:val="0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4、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隔油池GG-1SF做法是否参照04S519小型排水构筑物P69页？</w:t>
      </w:r>
    </w:p>
    <w:p>
      <w:pPr>
        <w:spacing w:line="360" w:lineRule="auto"/>
        <w:rPr>
          <w:rFonts w:hint="eastAsia" w:eastAsia="宋体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回复：参照</w:t>
      </w:r>
      <w:r>
        <w:rPr>
          <w:b/>
          <w:bCs/>
          <w:color w:val="0000FF"/>
          <w:lang w:val="en-US"/>
        </w:rPr>
        <w:t>此</w:t>
      </w:r>
      <w:r>
        <w:rPr>
          <w:rFonts w:hint="eastAsia"/>
          <w:b/>
          <w:bCs/>
          <w:color w:val="0000FF"/>
          <w:lang w:val="en-US"/>
        </w:rPr>
        <w:t>图集</w:t>
      </w:r>
      <w:r>
        <w:rPr>
          <w:b/>
          <w:bCs/>
          <w:color w:val="0000FF"/>
          <w:lang w:val="en-US"/>
        </w:rPr>
        <w:t>施工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5、是否考虑市政道路开口费及雨污水管网对接费用；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eastAsia="宋体"/>
          <w:b w:val="0"/>
          <w:bCs w:val="0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rFonts w:hint="eastAsia"/>
          <w:b/>
          <w:bCs/>
          <w:color w:val="0000FF"/>
          <w:lang w:val="en-US" w:eastAsia="zh-CN"/>
        </w:rPr>
        <w:t>不考虑。</w:t>
      </w:r>
    </w:p>
    <w:p>
      <w:pPr>
        <w:spacing w:line="360" w:lineRule="auto"/>
        <w:rPr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>门卫</w:t>
      </w:r>
    </w:p>
    <w:p>
      <w:pPr>
        <w:numPr>
          <w:ilvl w:val="0"/>
          <w:numId w:val="4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雨篷大样尺寸与结构平面尺寸及建筑平面尺寸皆不一致，是否以大样尺寸为准；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回复：延伸尺寸以平面图为准，向外延伸800mm。</w:t>
      </w:r>
    </w:p>
    <w:p>
      <w:pPr>
        <w:numPr>
          <w:ilvl w:val="0"/>
          <w:numId w:val="4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结构图轴线尺寸为3400*5600，建筑图轴线尺寸为3200*5600，是否以结构图尺寸为准；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回复：轴线尺寸以建筑平面图3200*5600为准。</w:t>
      </w:r>
    </w:p>
    <w:p>
      <w:pPr>
        <w:numPr>
          <w:ilvl w:val="0"/>
          <w:numId w:val="4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砌体墙及砖基础砌筑砂浆做法不详，请明确；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回复：砂浆等级同幼儿园总说明中相关参数要求。</w:t>
      </w:r>
    </w:p>
    <w:p>
      <w:pPr>
        <w:numPr>
          <w:ilvl w:val="0"/>
          <w:numId w:val="4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雨篷及女儿墙混凝土强度不详，请明确；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回复：混凝土强度等级C30。</w:t>
      </w:r>
    </w:p>
    <w:p>
      <w:pPr>
        <w:numPr>
          <w:ilvl w:val="0"/>
          <w:numId w:val="4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散水宽度平面图标注为1200，建筑说明标注为1000，是否以平面图为准；散水做法请明确至具体图集节点；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回复：散水宽度以设计施工说明1000宽为准，散水做法详见图集12J003-A1-1B。</w:t>
      </w:r>
    </w:p>
    <w:p>
      <w:pPr>
        <w:numPr>
          <w:ilvl w:val="0"/>
          <w:numId w:val="4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室外台阶做法不详，请明确；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回复：室外台阶做法详见图集12J003-B1-2B。</w:t>
      </w:r>
    </w:p>
    <w:p>
      <w:pPr>
        <w:numPr>
          <w:ilvl w:val="0"/>
          <w:numId w:val="4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门联窗M1,普通门M2（1000*2600），普通窗C1517，纱窗 材质及做法均不详，请明确；</w:t>
      </w:r>
    </w:p>
    <w:p>
      <w:pP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回复：门卫室普通外门，窗均采用外窗：淡蓝色Low-E铝合金中空玻璃窗，金属隔热</w:t>
      </w:r>
      <w:r>
        <w:rPr>
          <w:rFonts w:hint="eastAsia"/>
          <w:b/>
          <w:bCs/>
          <w:color w:val="0000FF"/>
          <w:lang w:val="en-US" w:eastAsia="zh-CN"/>
        </w:rPr>
        <w:t>断桥</w:t>
      </w:r>
      <w:r>
        <w:rPr>
          <w:rFonts w:hint="eastAsia"/>
          <w:b/>
          <w:bCs/>
          <w:color w:val="0000FF"/>
          <w:lang w:val="en-US"/>
        </w:rPr>
        <w:t>型材，隔热条高度24mm6中透光Low-E+12空气+6。门窗尺寸均为洞口尺寸，铝合金门窗需复核现场洞口尺寸方可下料，</w:t>
      </w:r>
      <w:r>
        <w:rPr>
          <w:rFonts w:hint="eastAsia"/>
          <w:b/>
          <w:bCs/>
          <w:color w:val="FF0000"/>
          <w:lang w:val="en-US"/>
        </w:rPr>
        <w:t>原设计单位审定后实施，</w:t>
      </w:r>
      <w:r>
        <w:rPr>
          <w:rFonts w:hint="eastAsia"/>
          <w:b/>
          <w:bCs/>
          <w:color w:val="0000FF"/>
          <w:lang w:val="en-US"/>
        </w:rPr>
        <w:t>并达到国家和地方现行相关标准的要求。</w:t>
      </w:r>
      <w:r>
        <w:rPr>
          <w:rFonts w:hint="eastAsia"/>
          <w:b/>
          <w:bCs/>
          <w:color w:val="FF0000"/>
          <w:lang w:val="en-US"/>
        </w:rPr>
        <w:t>纱窗选用18目的铝锰合金窗纱</w:t>
      </w:r>
      <w:r>
        <w:rPr>
          <w:rFonts w:hint="eastAsia"/>
          <w:b/>
          <w:bCs/>
          <w:color w:val="0000FF"/>
          <w:lang w:val="en-US"/>
        </w:rPr>
        <w:t>。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8、</w:t>
      </w: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平屋面隔离层做法不明确；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4808220" cy="868680"/>
            <wp:effectExtent l="0" t="0" r="762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08637" cy="86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回复：选用PE薄膜隔离层。</w:t>
      </w:r>
    </w:p>
    <w:p>
      <w:pPr>
        <w:numPr>
          <w:ilvl w:val="0"/>
          <w:numId w:val="4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平屋面防水上翻高度不详，请明确；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回复：上翻600mm。</w:t>
      </w:r>
    </w:p>
    <w:p>
      <w:pPr>
        <w:numPr>
          <w:ilvl w:val="0"/>
          <w:numId w:val="4"/>
        </w:num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  <w:t>女儿墙内侧装饰做法不详，请明确；</w:t>
      </w:r>
    </w:p>
    <w:p>
      <w:pPr>
        <w:spacing w:line="360" w:lineRule="auto"/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1、基层墙体清理；2、刷3厚界面剂一道（混凝土墙面）；3、找平层：12mm厚1:3防水砂浆找平打底，8mm厚1:2.5防水砂浆罩面（防水剂掺量5%），（不同基层交接处挂500mm宽12.7*12.7*0.7热镀锌钢丝网）；4、柔性耐水腻子两遍，弹性底涂；5、真石漆。</w:t>
      </w:r>
    </w:p>
    <w:p>
      <w:pPr>
        <w:pStyle w:val="15"/>
        <w:spacing w:before="0" w:beforeAutospacing="0" w:after="0" w:afterAutospacing="0" w:line="360" w:lineRule="auto"/>
        <w:jc w:val="center"/>
        <w:rPr>
          <w:b/>
          <w:bCs/>
          <w:szCs w:val="24"/>
          <w:lang w:val="en-US"/>
        </w:rPr>
      </w:pPr>
      <w:r>
        <w:rPr>
          <w:rFonts w:hint="eastAsia"/>
          <w:b/>
          <w:bCs/>
          <w:szCs w:val="24"/>
          <w:lang w:val="en-US"/>
        </w:rPr>
        <w:t>安装专业</w:t>
      </w:r>
    </w:p>
    <w:p>
      <w:pPr>
        <w:pStyle w:val="15"/>
        <w:spacing w:before="0" w:beforeAutospacing="0" w:after="0" w:afterAutospacing="0" w:line="360" w:lineRule="auto"/>
        <w:rPr>
          <w:b/>
          <w:bCs/>
          <w:szCs w:val="24"/>
          <w:lang w:val="en-US"/>
        </w:rPr>
      </w:pPr>
      <w:r>
        <w:rPr>
          <w:rFonts w:hint="eastAsia"/>
          <w:b/>
          <w:bCs/>
          <w:szCs w:val="24"/>
          <w:lang w:val="en-US"/>
        </w:rPr>
        <w:t>编制范围疑问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强电系统室外进线是否</w:t>
      </w:r>
      <w:r>
        <w:rPr>
          <w:rFonts w:hint="eastAsia"/>
          <w:szCs w:val="24"/>
          <w:lang w:val="en-US" w:eastAsia="zh-CN"/>
        </w:rPr>
        <w:t>仅</w:t>
      </w:r>
      <w:r>
        <w:rPr>
          <w:rFonts w:hint="eastAsia"/>
          <w:szCs w:val="24"/>
          <w:lang w:val="en-US"/>
        </w:rPr>
        <w:t>计</w:t>
      </w:r>
      <w:r>
        <w:rPr>
          <w:rFonts w:hint="eastAsia"/>
          <w:szCs w:val="24"/>
          <w:lang w:val="en-US" w:eastAsia="zh-CN"/>
        </w:rPr>
        <w:t>预埋管</w:t>
      </w:r>
      <w:r>
        <w:rPr>
          <w:rFonts w:hint="eastAsia"/>
          <w:szCs w:val="24"/>
          <w:lang w:val="en-US"/>
        </w:rPr>
        <w:t>至外墙皮处预留1.5米？</w:t>
      </w:r>
    </w:p>
    <w:p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回复：是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</w:rPr>
      </w:pPr>
      <w:r>
        <w:rPr>
          <w:rFonts w:hint="eastAsia"/>
          <w:szCs w:val="24"/>
          <w:lang w:val="en-US"/>
        </w:rPr>
        <w:t>弱电系统室外进线预埋管是否计算至外墙皮处预留1.5米？</w:t>
      </w:r>
      <w:r>
        <w:rPr>
          <w:rFonts w:hint="eastAsia"/>
          <w:szCs w:val="24"/>
        </w:rPr>
        <w:t>网络电话入户系统、有线电视系统、广播系统、电子围栏系统、视频监控系统、入侵报警系统</w:t>
      </w:r>
      <w:r>
        <w:rPr>
          <w:rFonts w:hint="eastAsia"/>
          <w:szCs w:val="24"/>
          <w:lang w:val="en-US"/>
        </w:rPr>
        <w:t>是否按图计入？若计入请提供各系统设备规格参数。</w:t>
      </w:r>
    </w:p>
    <w:p>
      <w:pPr>
        <w:spacing w:line="360" w:lineRule="auto"/>
        <w:rPr>
          <w:sz w:val="24"/>
          <w:szCs w:val="24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以上系统按图数量计入，系统设备由施工单位按规范标准深化设计并出具最终深化设计图纸，由原设计单位审定后实施，并满足幼儿园正常运行功能和规范需要，设备按中档计入。上述所需费用包含在投标总价中，后期不予调整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火灾报警系统室外进线预埋管是否计算至外墙皮处预留1.5米？</w:t>
      </w:r>
    </w:p>
    <w:p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回复：是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电气火灾</w:t>
      </w:r>
      <w:r>
        <w:rPr>
          <w:rFonts w:hint="eastAsia"/>
          <w:szCs w:val="24"/>
          <w:lang w:val="en-US" w:eastAsia="zh-CN"/>
        </w:rPr>
        <w:t>。</w:t>
      </w:r>
      <w:r>
        <w:rPr>
          <w:rFonts w:hint="eastAsia"/>
          <w:szCs w:val="24"/>
          <w:lang w:val="en-US"/>
        </w:rPr>
        <w:t>监控系统、可燃气体报警系统、消防设备电源监控系统是否计入？</w:t>
      </w:r>
    </w:p>
    <w:p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回复：是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</w:rPr>
      </w:pPr>
      <w:r>
        <w:rPr>
          <w:rFonts w:hint="eastAsia"/>
          <w:szCs w:val="24"/>
          <w:lang w:val="en-US"/>
        </w:rPr>
        <w:t>通风系统是否计入？</w:t>
      </w:r>
    </w:p>
    <w:p>
      <w:pPr>
        <w:spacing w:line="360" w:lineRule="auto"/>
        <w:rPr>
          <w:rFonts w:hint="eastAsia" w:eastAsia="宋体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回复：计入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pStyle w:val="15"/>
        <w:spacing w:before="0" w:beforeAutospacing="0" w:after="0" w:afterAutospacing="0" w:line="360" w:lineRule="auto"/>
        <w:rPr>
          <w:szCs w:val="24"/>
        </w:rPr>
      </w:pP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</w:rPr>
      </w:pPr>
      <w:r>
        <w:rPr>
          <w:rFonts w:hint="eastAsia"/>
          <w:szCs w:val="24"/>
          <w:lang w:val="en-US"/>
        </w:rPr>
        <w:t>室外给水及消防给水是否计算至</w:t>
      </w:r>
      <w:r>
        <w:rPr>
          <w:rFonts w:hint="eastAsia"/>
          <w:szCs w:val="24"/>
          <w:lang w:val="en-US" w:bidi="ar-SA"/>
        </w:rPr>
        <w:drawing>
          <wp:inline distT="0" distB="0" distL="114300" distR="114300">
            <wp:extent cx="2824480" cy="1707515"/>
            <wp:effectExtent l="0" t="0" r="10160" b="14605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24480" cy="170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4"/>
          <w:lang w:val="en-US"/>
        </w:rPr>
        <w:t>图纸位置？</w:t>
      </w:r>
    </w:p>
    <w:p>
      <w:pPr>
        <w:spacing w:line="360" w:lineRule="auto"/>
        <w:rPr>
          <w:rFonts w:hint="default" w:eastAsia="宋体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回复：消防喷淋管道与1号楼的室外消防接口并使用</w:t>
      </w:r>
      <w:r>
        <w:rPr>
          <w:rFonts w:hint="eastAsia"/>
          <w:b/>
          <w:bCs/>
          <w:color w:val="0000FF"/>
          <w:lang w:val="en-US" w:eastAsia="zh-CN"/>
        </w:rPr>
        <w:t>；</w:t>
      </w:r>
      <w:r>
        <w:rPr>
          <w:rFonts w:hint="eastAsia"/>
          <w:b/>
          <w:bCs/>
          <w:color w:val="0000FF"/>
          <w:lang w:val="en-US"/>
        </w:rPr>
        <w:t>室内消防栓与1号楼共用高位水箱，并形成并网，满足规范要求，按100米管计入</w:t>
      </w:r>
      <w:r>
        <w:rPr>
          <w:rFonts w:hint="eastAsia"/>
          <w:b/>
          <w:bCs/>
          <w:color w:val="0000FF"/>
          <w:lang w:val="en-US" w:eastAsia="zh-CN"/>
        </w:rPr>
        <w:t>；给排水与1号楼西边围墙对接，此部分内容均包含在清单内。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</w:rPr>
      </w:pPr>
      <w:r>
        <w:rPr>
          <w:rFonts w:hint="eastAsia"/>
          <w:szCs w:val="24"/>
          <w:lang w:val="en-US"/>
        </w:rPr>
        <w:t>洁具是否计入？</w:t>
      </w:r>
    </w:p>
    <w:p>
      <w:pPr>
        <w:spacing w:line="360" w:lineRule="auto"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回复：计入。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</w:rPr>
      </w:pPr>
      <w:r>
        <w:rPr>
          <w:rFonts w:hint="eastAsia"/>
          <w:szCs w:val="24"/>
          <w:lang w:val="en-US"/>
        </w:rPr>
        <w:t>室外雨污水是否计算至</w:t>
      </w:r>
      <w:r>
        <w:rPr>
          <w:rFonts w:hint="eastAsia"/>
          <w:szCs w:val="24"/>
          <w:lang w:val="en-US" w:bidi="ar-SA"/>
        </w:rPr>
        <w:drawing>
          <wp:inline distT="0" distB="0" distL="114300" distR="114300">
            <wp:extent cx="3360420" cy="1438275"/>
            <wp:effectExtent l="0" t="0" r="7620" b="9525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6042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4"/>
          <w:lang w:val="en-US"/>
        </w:rPr>
        <w:t>图纸位置？</w:t>
      </w:r>
    </w:p>
    <w:p>
      <w:pPr>
        <w:spacing w:line="360" w:lineRule="auto"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回复：计算至附中一号楼接入点。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</w:rPr>
      </w:pPr>
      <w:r>
        <w:rPr>
          <w:rFonts w:hint="eastAsia"/>
          <w:szCs w:val="24"/>
          <w:lang w:val="en-US"/>
        </w:rPr>
        <w:t>太阳能系统是否计入？若计入请提供具体设备规格参数。</w:t>
      </w:r>
    </w:p>
    <w:p>
      <w:p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rFonts w:hint="eastAsia"/>
          <w:b/>
          <w:bCs/>
          <w:color w:val="0000FF"/>
          <w:lang w:val="en-US" w:eastAsia="zh-CN"/>
        </w:rPr>
        <w:t>水泵、水箱、集热器</w:t>
      </w:r>
      <w:r>
        <w:rPr>
          <w:rFonts w:hint="eastAsia"/>
          <w:b/>
          <w:bCs/>
          <w:color w:val="0000FF"/>
          <w:lang w:val="en-US"/>
        </w:rPr>
        <w:t>不计入</w:t>
      </w:r>
      <w:r>
        <w:rPr>
          <w:rFonts w:hint="eastAsia"/>
          <w:b/>
          <w:bCs/>
          <w:color w:val="0000FF"/>
          <w:lang w:val="en-US" w:eastAsia="zh-CN"/>
        </w:rPr>
        <w:t>；其他均计入。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</w:rPr>
      </w:pPr>
      <w:r>
        <w:rPr>
          <w:rFonts w:hint="eastAsia"/>
          <w:szCs w:val="24"/>
          <w:lang w:val="en-US"/>
        </w:rPr>
        <w:t>本工程抗震支吊架是否计入？</w:t>
      </w:r>
    </w:p>
    <w:p>
      <w:pPr>
        <w:spacing w:line="360" w:lineRule="auto"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回复：计入。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</w:rPr>
      </w:pPr>
      <w:r>
        <w:rPr>
          <w:rFonts w:hint="eastAsia"/>
          <w:szCs w:val="24"/>
          <w:lang w:val="en-US"/>
        </w:rPr>
        <w:t>电梯是否需要计入？</w:t>
      </w:r>
    </w:p>
    <w:p>
      <w:pPr>
        <w:spacing w:line="360" w:lineRule="auto"/>
        <w:rPr>
          <w:rFonts w:hint="eastAsia"/>
          <w:b/>
          <w:bCs/>
          <w:color w:val="0000FF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回复：计入。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rFonts w:hint="eastAsia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油烟净化机组是否需要计入？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答：不计入。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rFonts w:hint="eastAsia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挡烟垂壁是否需要计入？</w:t>
      </w:r>
    </w:p>
    <w:p>
      <w:pPr>
        <w:spacing w:line="360" w:lineRule="auto"/>
        <w:rPr>
          <w:rFonts w:hint="default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答：取消，不计入。</w:t>
      </w:r>
    </w:p>
    <w:p>
      <w:pPr>
        <w:pStyle w:val="15"/>
        <w:numPr>
          <w:ilvl w:val="0"/>
          <w:numId w:val="5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本工程是否有</w:t>
      </w:r>
      <w:r>
        <w:rPr>
          <w:rFonts w:hint="eastAsia"/>
          <w:szCs w:val="24"/>
          <w:lang w:val="en-US" w:eastAsia="zh-CN"/>
        </w:rPr>
        <w:t>推荐</w:t>
      </w:r>
      <w:r>
        <w:rPr>
          <w:rFonts w:hint="eastAsia"/>
          <w:szCs w:val="24"/>
          <w:lang w:val="en-US"/>
        </w:rPr>
        <w:t>品牌？</w:t>
      </w:r>
    </w:p>
    <w:p>
      <w:pPr>
        <w:spacing w:line="360" w:lineRule="auto"/>
        <w:rPr>
          <w:sz w:val="24"/>
          <w:szCs w:val="24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</w:t>
      </w:r>
      <w:r>
        <w:rPr>
          <w:rFonts w:hint="eastAsia"/>
          <w:b/>
          <w:bCs/>
          <w:color w:val="0000FF"/>
          <w:lang w:val="en-US" w:eastAsia="zh-CN"/>
        </w:rPr>
        <w:t>无推荐品牌</w:t>
      </w:r>
      <w:r>
        <w:rPr>
          <w:rFonts w:hint="eastAsia"/>
          <w:b/>
          <w:bCs/>
          <w:color w:val="0000FF"/>
          <w:lang w:val="en-US"/>
        </w:rPr>
        <w:t>。</w:t>
      </w:r>
    </w:p>
    <w:p>
      <w:pPr>
        <w:pStyle w:val="15"/>
        <w:spacing w:before="0" w:beforeAutospacing="0" w:after="0" w:afterAutospacing="0" w:line="360" w:lineRule="auto"/>
        <w:rPr>
          <w:b/>
          <w:bCs/>
          <w:szCs w:val="24"/>
          <w:lang w:val="en-US"/>
        </w:rPr>
      </w:pPr>
      <w:r>
        <w:rPr>
          <w:rFonts w:hint="eastAsia"/>
          <w:b/>
          <w:bCs/>
          <w:szCs w:val="24"/>
          <w:lang w:val="en-US"/>
        </w:rPr>
        <w:t>设计疑问</w:t>
      </w:r>
    </w:p>
    <w:p>
      <w:pPr>
        <w:pStyle w:val="15"/>
        <w:numPr>
          <w:ilvl w:val="0"/>
          <w:numId w:val="6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强电系统</w:t>
      </w:r>
      <w:r>
        <w:rPr>
          <w:rFonts w:hint="eastAsia"/>
          <w:szCs w:val="24"/>
          <w:lang w:val="en-US" w:bidi="ar-SA"/>
        </w:rPr>
        <w:drawing>
          <wp:inline distT="0" distB="0" distL="114300" distR="114300">
            <wp:extent cx="3040380" cy="1426210"/>
            <wp:effectExtent l="0" t="0" r="7620" b="635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4038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4"/>
          <w:lang w:val="en-US"/>
        </w:rPr>
        <w:t>竖向桥架规格是否按200*100计入？</w:t>
      </w:r>
    </w:p>
    <w:p>
      <w:pPr>
        <w:spacing w:line="360" w:lineRule="auto"/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FF"/>
          <w:lang w:val="en-US"/>
        </w:rPr>
        <w:t>回复：是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pStyle w:val="15"/>
        <w:numPr>
          <w:ilvl w:val="0"/>
          <w:numId w:val="6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弱电系统</w:t>
      </w:r>
      <w:r>
        <w:rPr>
          <w:rFonts w:hint="eastAsia"/>
          <w:szCs w:val="24"/>
          <w:lang w:val="en-US" w:bidi="ar-SA"/>
        </w:rPr>
        <w:drawing>
          <wp:inline distT="0" distB="0" distL="114300" distR="114300">
            <wp:extent cx="3038475" cy="1410335"/>
            <wp:effectExtent l="0" t="0" r="9525" b="6985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41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4"/>
          <w:lang w:val="en-US"/>
        </w:rPr>
        <w:t>竖向桥架规格是否按200*100计入？</w:t>
      </w:r>
    </w:p>
    <w:p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回复：是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pStyle w:val="15"/>
        <w:numPr>
          <w:ilvl w:val="0"/>
          <w:numId w:val="6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电气火灾监控系统无配管配线，请明确？</w:t>
      </w:r>
    </w:p>
    <w:p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回复：穿管SC20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pStyle w:val="15"/>
        <w:numPr>
          <w:ilvl w:val="0"/>
          <w:numId w:val="6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室外安防系统无具体配管，请明确？</w:t>
      </w:r>
    </w:p>
    <w:p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回复：室外电源线穿管SC25,室外光缆穿管SC25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pStyle w:val="15"/>
        <w:numPr>
          <w:ilvl w:val="0"/>
          <w:numId w:val="6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室外景观给水无具体管材说明，请明确？</w:t>
      </w:r>
    </w:p>
    <w:p>
      <w:pPr>
        <w:spacing w:line="360" w:lineRule="auto"/>
        <w:rPr>
          <w:sz w:val="24"/>
          <w:szCs w:val="24"/>
          <w:lang w:val="en-US"/>
        </w:rPr>
      </w:pPr>
      <w:r>
        <w:rPr>
          <w:rFonts w:hint="eastAsia"/>
          <w:b/>
          <w:bCs/>
          <w:color w:val="0000FF"/>
          <w:lang w:val="en-US"/>
        </w:rPr>
        <w:t>回复：景观给水系统采用</w:t>
      </w:r>
      <w:r>
        <w:rPr>
          <w:b/>
          <w:bCs/>
          <w:color w:val="0000FF"/>
          <w:lang w:val="en-US"/>
        </w:rPr>
        <w:t>PE给水管,电熔连接。</w:t>
      </w:r>
    </w:p>
    <w:p>
      <w:pPr>
        <w:pStyle w:val="15"/>
        <w:numPr>
          <w:ilvl w:val="0"/>
          <w:numId w:val="6"/>
        </w:numPr>
        <w:spacing w:before="0" w:beforeAutospacing="0" w:after="0" w:afterAutospacing="0" w:line="360" w:lineRule="auto"/>
        <w:rPr>
          <w:szCs w:val="24"/>
          <w:lang w:val="en-US"/>
        </w:rPr>
      </w:pPr>
      <w:r>
        <w:rPr>
          <w:rFonts w:hint="eastAsia"/>
          <w:szCs w:val="24"/>
          <w:lang w:val="en-US"/>
        </w:rPr>
        <w:t>室外给水接至幼儿园此处管道</w:t>
      </w:r>
      <w:r>
        <w:rPr>
          <w:rFonts w:hint="eastAsia"/>
          <w:szCs w:val="24"/>
          <w:lang w:val="en-US" w:bidi="ar-SA"/>
        </w:rPr>
        <w:drawing>
          <wp:inline distT="0" distB="0" distL="114300" distR="114300">
            <wp:extent cx="2865120" cy="1651000"/>
            <wp:effectExtent l="0" t="0" r="0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4"/>
        </w:rPr>
        <w:t>，</w:t>
      </w:r>
      <w:r>
        <w:rPr>
          <w:rFonts w:hint="eastAsia"/>
          <w:szCs w:val="24"/>
          <w:lang w:val="en-US"/>
        </w:rPr>
        <w:t>单体楼内无此管道，计算至何处，请明确？</w:t>
      </w:r>
    </w:p>
    <w:p>
      <w:pPr>
        <w:spacing w:line="360" w:lineRule="auto"/>
        <w:rPr>
          <w:rFonts w:hint="eastAsia" w:eastAsia="宋体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/>
        </w:rPr>
        <w:t>回复：取消</w:t>
      </w:r>
      <w:r>
        <w:rPr>
          <w:b/>
          <w:bCs/>
          <w:color w:val="0000FF"/>
          <w:lang w:val="en-US"/>
        </w:rPr>
        <w:t>此段给水管</w:t>
      </w:r>
      <w:r>
        <w:rPr>
          <w:rFonts w:hint="eastAsia"/>
          <w:b/>
          <w:bCs/>
          <w:color w:val="0000FF"/>
          <w:lang w:val="en-US" w:eastAsia="zh-CN"/>
        </w:rPr>
        <w:t>。</w:t>
      </w:r>
    </w:p>
    <w:p>
      <w:pPr>
        <w:spacing w:line="360" w:lineRule="auto"/>
        <w:rPr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5962650" cy="2174240"/>
            <wp:effectExtent l="0" t="0" r="11430" b="508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217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numPr>
          <w:ilvl w:val="0"/>
          <w:numId w:val="6"/>
        </w:numPr>
        <w:spacing w:before="0" w:beforeAutospacing="0" w:after="0" w:afterAutospacing="0" w:line="360" w:lineRule="auto"/>
        <w:rPr>
          <w:rFonts w:hint="eastAsia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接屋面集热器热水管阀门是否按照DN25计入？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答：是。</w:t>
      </w:r>
    </w:p>
    <w:p>
      <w:pPr>
        <w:pStyle w:val="15"/>
        <w:numPr>
          <w:ilvl w:val="0"/>
          <w:numId w:val="6"/>
        </w:numPr>
        <w:spacing w:before="0" w:beforeAutospacing="0" w:after="0" w:afterAutospacing="0" w:line="360" w:lineRule="auto"/>
        <w:rPr>
          <w:rFonts w:hint="default"/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W-1单层排水管平面图与系统图管径不一致，是否以平面图为准？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答：是。</w:t>
      </w:r>
    </w:p>
    <w:p>
      <w:pPr>
        <w:pStyle w:val="15"/>
        <w:numPr>
          <w:ilvl w:val="0"/>
          <w:numId w:val="6"/>
        </w:numPr>
        <w:spacing w:before="0" w:beforeAutospacing="0" w:after="0" w:afterAutospacing="0" w:line="360" w:lineRule="auto"/>
        <w:rPr>
          <w:rFonts w:hint="default"/>
          <w:szCs w:val="24"/>
          <w:lang w:val="en-US" w:eastAsia="zh-CN"/>
        </w:rPr>
      </w:pPr>
      <w:r>
        <w:rPr>
          <w:rFonts w:hint="default"/>
          <w:szCs w:val="24"/>
          <w:lang w:val="en-US" w:eastAsia="zh-CN"/>
        </w:rPr>
        <w:t>网络电话入户系统</w:t>
      </w:r>
      <w:r>
        <w:rPr>
          <w:rFonts w:hint="eastAsia"/>
          <w:szCs w:val="24"/>
          <w:lang w:val="en-US" w:eastAsia="zh-CN"/>
        </w:rPr>
        <w:t>和视频监控系统图纸设计中32口交换机是否有误？</w:t>
      </w: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  <w:r>
        <w:rPr>
          <w:rFonts w:hint="eastAsia"/>
          <w:b/>
          <w:bCs/>
          <w:color w:val="0000FF"/>
          <w:lang w:val="en-US" w:eastAsia="zh-CN"/>
        </w:rPr>
        <w:t>答：按48口交换机计入。</w:t>
      </w:r>
    </w:p>
    <w:p>
      <w:pPr>
        <w:pStyle w:val="15"/>
        <w:numPr>
          <w:ilvl w:val="0"/>
          <w:numId w:val="0"/>
        </w:numPr>
        <w:spacing w:before="0" w:beforeAutospacing="0" w:after="0" w:afterAutospacing="0" w:line="360" w:lineRule="auto"/>
        <w:rPr>
          <w:rFonts w:hint="default"/>
          <w:szCs w:val="24"/>
          <w:lang w:val="en-US" w:eastAsia="zh-CN"/>
        </w:rPr>
      </w:pPr>
    </w:p>
    <w:p>
      <w:pPr>
        <w:spacing w:line="360" w:lineRule="auto"/>
        <w:rPr>
          <w:rFonts w:hint="eastAsia"/>
          <w:b/>
          <w:bCs/>
          <w:color w:val="0000FF"/>
          <w:lang w:val="en-US" w:eastAsia="zh-CN"/>
        </w:rPr>
      </w:pPr>
    </w:p>
    <w:p>
      <w:pPr>
        <w:spacing w:line="360" w:lineRule="auto"/>
        <w:rPr>
          <w:rFonts w:hint="default"/>
          <w:b/>
          <w:bCs/>
          <w:color w:val="0000FF"/>
          <w:lang w:val="en-US" w:eastAsia="zh-CN"/>
        </w:rPr>
      </w:pPr>
    </w:p>
    <w:p>
      <w:pPr>
        <w:pStyle w:val="15"/>
        <w:spacing w:beforeAutospacing="0" w:afterAutospacing="0" w:line="360" w:lineRule="auto"/>
        <w:rPr>
          <w:rFonts w:asciiTheme="minorEastAsia" w:hAnsiTheme="minorEastAsia" w:eastAsiaTheme="minorEastAsia" w:cstheme="minorEastAsia"/>
          <w:szCs w:val="24"/>
        </w:rPr>
      </w:pPr>
    </w:p>
    <w:p>
      <w:pPr>
        <w:pStyle w:val="15"/>
        <w:spacing w:beforeAutospacing="0" w:afterAutospacing="0" w:line="360" w:lineRule="auto"/>
        <w:rPr>
          <w:rFonts w:asciiTheme="minorEastAsia" w:hAnsiTheme="minorEastAsia" w:eastAsiaTheme="minorEastAsia" w:cstheme="minorEastAsia"/>
          <w:szCs w:val="24"/>
        </w:rPr>
      </w:pPr>
      <w:bookmarkStart w:id="0" w:name="_GoBack"/>
      <w:bookmarkEnd w:id="0"/>
    </w:p>
    <w:sectPr>
      <w:footerReference r:id="rId3" w:type="default"/>
      <w:pgSz w:w="11910" w:h="16840"/>
      <w:pgMar w:top="1580" w:right="1040" w:bottom="1400" w:left="1480" w:header="0" w:footer="120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spacing w:line="14" w:lineRule="auto"/>
      <w:ind w:left="0"/>
      <w:rPr>
        <w:sz w:val="20"/>
      </w:rPr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6414770</wp:posOffset>
              </wp:positionH>
              <wp:positionV relativeFrom="page">
                <wp:posOffset>9789795</wp:posOffset>
              </wp:positionV>
              <wp:extent cx="167005" cy="152400"/>
              <wp:effectExtent l="0" t="0" r="0" b="0"/>
              <wp:wrapNone/>
              <wp:docPr id="29" name="文本框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0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2"/>
                            <w:ind w:left="4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505.1pt;margin-top:770.85pt;height:12pt;width:13.15pt;mso-position-horizontal-relative:page;mso-position-vertical-relative:page;z-index:-251658240;mso-width-relative:page;mso-height-relative:page;" filled="f" stroked="f" coordsize="21600,21600" o:gfxdata="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4dhji2wAAAA8BAAAPAAAAAAAAAAEAIAAAACIAAABkcnMvZG93bnJldi54bWxQ&#10;SwECFAAUAAAACACHTuJAcBmHxbsBAABzAwAADgAAAAAAAAABACAAAAAq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12"/>
                      <w:ind w:left="4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sz w:val="18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1A2FCB"/>
    <w:multiLevelType w:val="singleLevel"/>
    <w:tmpl w:val="961A2FCB"/>
    <w:lvl w:ilvl="0" w:tentative="0">
      <w:start w:val="1"/>
      <w:numFmt w:val="decimal"/>
      <w:suff w:val="nothing"/>
      <w:lvlText w:val="%1、"/>
      <w:lvlJc w:val="left"/>
      <w:rPr>
        <w:rFonts w:ascii="宋体" w:hAnsi="宋体" w:eastAsia="宋体"/>
        <w:color w:val="auto"/>
        <w:sz w:val="24"/>
        <w:szCs w:val="24"/>
      </w:rPr>
    </w:lvl>
  </w:abstractNum>
  <w:abstractNum w:abstractNumId="1">
    <w:nsid w:val="D8359E69"/>
    <w:multiLevelType w:val="singleLevel"/>
    <w:tmpl w:val="D8359E69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E0393CB5"/>
    <w:multiLevelType w:val="singleLevel"/>
    <w:tmpl w:val="E0393CB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D569ACA"/>
    <w:multiLevelType w:val="singleLevel"/>
    <w:tmpl w:val="4D569ACA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E1EA548"/>
    <w:multiLevelType w:val="singleLevel"/>
    <w:tmpl w:val="4E1EA548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AB34AAA"/>
    <w:multiLevelType w:val="singleLevel"/>
    <w:tmpl w:val="5AB34AA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3C00"/>
    <w:rsid w:val="00044640"/>
    <w:rsid w:val="00071672"/>
    <w:rsid w:val="00117DA7"/>
    <w:rsid w:val="00130F71"/>
    <w:rsid w:val="00186108"/>
    <w:rsid w:val="00214E78"/>
    <w:rsid w:val="00430E06"/>
    <w:rsid w:val="004A3C76"/>
    <w:rsid w:val="004D123F"/>
    <w:rsid w:val="004F65DB"/>
    <w:rsid w:val="00525152"/>
    <w:rsid w:val="005738D0"/>
    <w:rsid w:val="00583BFB"/>
    <w:rsid w:val="00584B00"/>
    <w:rsid w:val="005B3C8D"/>
    <w:rsid w:val="0064503E"/>
    <w:rsid w:val="0065267F"/>
    <w:rsid w:val="006A7432"/>
    <w:rsid w:val="00740739"/>
    <w:rsid w:val="007F0F74"/>
    <w:rsid w:val="008A7A8E"/>
    <w:rsid w:val="008F6B8F"/>
    <w:rsid w:val="00934E29"/>
    <w:rsid w:val="0098105A"/>
    <w:rsid w:val="00A03ABD"/>
    <w:rsid w:val="00A74413"/>
    <w:rsid w:val="00AA5056"/>
    <w:rsid w:val="00AA7EB5"/>
    <w:rsid w:val="00AF5F3C"/>
    <w:rsid w:val="00B03F74"/>
    <w:rsid w:val="00B0489C"/>
    <w:rsid w:val="00B51456"/>
    <w:rsid w:val="00B75228"/>
    <w:rsid w:val="00BB7DD8"/>
    <w:rsid w:val="00C164E9"/>
    <w:rsid w:val="00CD24A6"/>
    <w:rsid w:val="00CD41B6"/>
    <w:rsid w:val="00D12D64"/>
    <w:rsid w:val="00D26AE4"/>
    <w:rsid w:val="00D97A34"/>
    <w:rsid w:val="00DF7620"/>
    <w:rsid w:val="00E172C7"/>
    <w:rsid w:val="00E47DCC"/>
    <w:rsid w:val="00E5432E"/>
    <w:rsid w:val="00EE15DA"/>
    <w:rsid w:val="00F00506"/>
    <w:rsid w:val="00F12BB9"/>
    <w:rsid w:val="00F53857"/>
    <w:rsid w:val="00F60756"/>
    <w:rsid w:val="00F94ACF"/>
    <w:rsid w:val="00F97CCA"/>
    <w:rsid w:val="040B0D62"/>
    <w:rsid w:val="042515CF"/>
    <w:rsid w:val="06AC6EB4"/>
    <w:rsid w:val="07B04415"/>
    <w:rsid w:val="085022AE"/>
    <w:rsid w:val="09837F56"/>
    <w:rsid w:val="098D294A"/>
    <w:rsid w:val="0B8C0E2A"/>
    <w:rsid w:val="0D9E4F06"/>
    <w:rsid w:val="0E336908"/>
    <w:rsid w:val="0FF02492"/>
    <w:rsid w:val="12CB35DB"/>
    <w:rsid w:val="12E43071"/>
    <w:rsid w:val="15E9527D"/>
    <w:rsid w:val="170250D6"/>
    <w:rsid w:val="18BE0585"/>
    <w:rsid w:val="192950B5"/>
    <w:rsid w:val="1AC70FD6"/>
    <w:rsid w:val="1B327C90"/>
    <w:rsid w:val="1E5757D0"/>
    <w:rsid w:val="1F4C317B"/>
    <w:rsid w:val="227D1690"/>
    <w:rsid w:val="236A02E8"/>
    <w:rsid w:val="23CC6045"/>
    <w:rsid w:val="268D6DB6"/>
    <w:rsid w:val="26BE1A1A"/>
    <w:rsid w:val="2BE71013"/>
    <w:rsid w:val="2C956472"/>
    <w:rsid w:val="2E75536A"/>
    <w:rsid w:val="2F7503BD"/>
    <w:rsid w:val="304B10DD"/>
    <w:rsid w:val="31232930"/>
    <w:rsid w:val="312D14B8"/>
    <w:rsid w:val="313C6FF3"/>
    <w:rsid w:val="337C7C6C"/>
    <w:rsid w:val="353B7127"/>
    <w:rsid w:val="355C3874"/>
    <w:rsid w:val="383A2B77"/>
    <w:rsid w:val="3934745A"/>
    <w:rsid w:val="3AF01B36"/>
    <w:rsid w:val="3E1F05D5"/>
    <w:rsid w:val="43725DD1"/>
    <w:rsid w:val="46AD0ED8"/>
    <w:rsid w:val="4A184F41"/>
    <w:rsid w:val="4CBD4C58"/>
    <w:rsid w:val="4F370CCE"/>
    <w:rsid w:val="552766A3"/>
    <w:rsid w:val="56FF2DAE"/>
    <w:rsid w:val="5B05602B"/>
    <w:rsid w:val="5BC84FBB"/>
    <w:rsid w:val="5BF21B83"/>
    <w:rsid w:val="5CF9278D"/>
    <w:rsid w:val="5FC32EE5"/>
    <w:rsid w:val="609F57A2"/>
    <w:rsid w:val="62820E8D"/>
    <w:rsid w:val="66F63C00"/>
    <w:rsid w:val="6CED0742"/>
    <w:rsid w:val="6D453F6B"/>
    <w:rsid w:val="6EA94ECD"/>
    <w:rsid w:val="70E54DF5"/>
    <w:rsid w:val="71BB508D"/>
    <w:rsid w:val="73087305"/>
    <w:rsid w:val="733027A1"/>
    <w:rsid w:val="74555898"/>
    <w:rsid w:val="74582619"/>
    <w:rsid w:val="753B7CF2"/>
    <w:rsid w:val="76036484"/>
    <w:rsid w:val="761F6416"/>
    <w:rsid w:val="77AA5B23"/>
    <w:rsid w:val="7A5F0A9E"/>
    <w:rsid w:val="7B2E59D7"/>
    <w:rsid w:val="7B7009C4"/>
    <w:rsid w:val="7C377AFB"/>
    <w:rsid w:val="7CD8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6"/>
      <w:ind w:left="109"/>
      <w:outlineLvl w:val="0"/>
    </w:pPr>
    <w:rPr>
      <w:b/>
      <w:bCs/>
      <w:sz w:val="24"/>
      <w:szCs w:val="2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qFormat/>
    <w:uiPriority w:val="1"/>
    <w:pPr>
      <w:ind w:left="109"/>
    </w:pPr>
    <w:rPr>
      <w:sz w:val="24"/>
      <w:szCs w:val="24"/>
    </w:rPr>
  </w:style>
  <w:style w:type="paragraph" w:styleId="12">
    <w:name w:val="Balloon Text"/>
    <w:basedOn w:val="1"/>
    <w:link w:val="22"/>
    <w:qFormat/>
    <w:uiPriority w:val="0"/>
    <w:rPr>
      <w:sz w:val="18"/>
      <w:szCs w:val="18"/>
    </w:rPr>
  </w:style>
  <w:style w:type="paragraph" w:styleId="13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link w:val="2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Normal (Web)"/>
    <w:basedOn w:val="1"/>
    <w:link w:val="19"/>
    <w:unhideWhenUsed/>
    <w:qFormat/>
    <w:uiPriority w:val="0"/>
    <w:pPr>
      <w:widowControl/>
      <w:spacing w:before="100" w:beforeAutospacing="1" w:after="100" w:afterAutospacing="1"/>
    </w:pPr>
    <w:rPr>
      <w:sz w:val="24"/>
    </w:rPr>
  </w:style>
  <w:style w:type="paragraph" w:styleId="18">
    <w:name w:val="List Paragraph"/>
    <w:basedOn w:val="1"/>
    <w:qFormat/>
    <w:uiPriority w:val="1"/>
    <w:pPr>
      <w:spacing w:before="2"/>
      <w:ind w:left="109"/>
    </w:pPr>
  </w:style>
  <w:style w:type="character" w:customStyle="1" w:styleId="19">
    <w:name w:val="普通(网站) Char"/>
    <w:link w:val="15"/>
    <w:qFormat/>
    <w:uiPriority w:val="0"/>
    <w:rPr>
      <w:rFonts w:ascii="宋体" w:hAnsi="宋体" w:cs="宋体"/>
      <w:kern w:val="0"/>
      <w:sz w:val="24"/>
    </w:rPr>
  </w:style>
  <w:style w:type="character" w:customStyle="1" w:styleId="20">
    <w:name w:val="页眉 Char"/>
    <w:basedOn w:val="17"/>
    <w:link w:val="14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21">
    <w:name w:val="页脚 Char"/>
    <w:basedOn w:val="17"/>
    <w:link w:val="13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22">
    <w:name w:val="批注框文本 Char"/>
    <w:basedOn w:val="17"/>
    <w:link w:val="12"/>
    <w:qFormat/>
    <w:uiPriority w:val="0"/>
    <w:rPr>
      <w:rFonts w:ascii="宋体" w:hAnsi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359</Words>
  <Characters>2047</Characters>
  <Lines>17</Lines>
  <Paragraphs>4</Paragraphs>
  <TotalTime>0</TotalTime>
  <ScaleCrop>false</ScaleCrop>
  <LinksUpToDate>false</LinksUpToDate>
  <CharactersWithSpaces>2402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2020-11-04T03:43:00Z</dcterms:created>
  <dc:creator>夏天的冰</dc:creator>
  <cp:lastModifiedBy>西红柿</cp:lastModifiedBy>
  <cp:lastPrinted>2020-12-02T09:23:00Z</cp:lastPrinted>
  <dcterms:modified xsi:type="dcterms:W3CDTF">2020-12-10T03:19:16Z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